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2" w:name="sutarties-vykdymo-kontrolės-tvarka"/>
    <w:p>
      <w:pPr>
        <w:pStyle w:val="Heading1"/>
      </w:pPr>
      <w:r>
        <w:t xml:space="preserve">SUTARTIES VYKDYMO KONTROLĖS TVARKA</w:t>
      </w:r>
    </w:p>
    <w:bookmarkStart w:id="21" w:name="mokinių-maitinimo-paslaugų-pirkimui"/>
    <w:p>
      <w:pPr>
        <w:pStyle w:val="Heading2"/>
      </w:pPr>
      <w:r>
        <w:t xml:space="preserve">Mokinių maitinimo paslaugų pirkimui</w:t>
      </w:r>
    </w:p>
    <w:bookmarkStart w:id="20" w:name="tikslas"/>
    <w:p>
      <w:pPr>
        <w:pStyle w:val="Heading3"/>
      </w:pPr>
      <w:r>
        <w:t xml:space="preserve">1. Tikslas</w:t>
      </w:r>
    </w:p>
    <w:p>
      <w:pPr>
        <w:pStyle w:val="FirstParagraph"/>
      </w:pPr>
      <w:r>
        <w:t xml:space="preserve">Šios tvarkos tikslas – nustatyti aiškią mokinių maitinimo paslaugų sutarties vykdymo kontrolės tvarką, atsakingus asmenis, tikrinamus dokumentus ir kontrolės periodiškumą.</w:t>
      </w:r>
    </w:p>
    <w:p>
      <w:pPr>
        <w:pStyle w:val="BodyText"/>
      </w:pPr>
      <w:r>
        <w:t xml:space="preserve">Kontrolė vykdoma vadovaujantis proporcingumo principu, tikrinant tik tuos reikalavimus, kuriuos Perkančioji organizacija gali objektyviai įvertinti.</w:t>
      </w:r>
    </w:p>
    <w:p>
      <w:r>
        <w:pict>
          <v:rect style="width:0;height:1.5pt" o:hralign="center" o:hrstd="t" o:hr="t"/>
        </w:pict>
      </w:r>
    </w:p>
    <w:bookmarkEnd w:id="20"/>
    <w:bookmarkEnd w:id="21"/>
    <w:bookmarkEnd w:id="22"/>
    <w:bookmarkStart w:id="23" w:name="kontrolės-būdai"/>
    <w:p>
      <w:pPr>
        <w:pStyle w:val="Heading1"/>
      </w:pPr>
      <w:r>
        <w:t xml:space="preserve">2. Kontrolės būdai</w:t>
      </w:r>
    </w:p>
    <w:p>
      <w:pPr>
        <w:pStyle w:val="FirstParagraph"/>
      </w:pPr>
      <w:r>
        <w:t xml:space="preserve">Kontrolė vykdoma:</w:t>
      </w:r>
    </w:p>
    <w:p>
      <w:pPr>
        <w:pStyle w:val="Compact"/>
        <w:numPr>
          <w:ilvl w:val="0"/>
          <w:numId w:val="1001"/>
        </w:numPr>
      </w:pPr>
      <w:r>
        <w:t xml:space="preserve">dokumentų patikra;</w:t>
      </w:r>
    </w:p>
    <w:p>
      <w:pPr>
        <w:pStyle w:val="Compact"/>
        <w:numPr>
          <w:ilvl w:val="0"/>
          <w:numId w:val="1001"/>
        </w:numPr>
      </w:pPr>
      <w:r>
        <w:t xml:space="preserve">vizualine patikra;</w:t>
      </w:r>
    </w:p>
    <w:p>
      <w:pPr>
        <w:pStyle w:val="Compact"/>
        <w:numPr>
          <w:ilvl w:val="0"/>
          <w:numId w:val="1001"/>
        </w:numPr>
      </w:pPr>
      <w:r>
        <w:t xml:space="preserve">vietos patikrinimu;</w:t>
      </w:r>
    </w:p>
    <w:p>
      <w:pPr>
        <w:pStyle w:val="Compact"/>
        <w:numPr>
          <w:ilvl w:val="0"/>
          <w:numId w:val="1001"/>
        </w:numPr>
      </w:pPr>
      <w:r>
        <w:t xml:space="preserve">periodinių ataskaitų vertinimu;</w:t>
      </w:r>
    </w:p>
    <w:p>
      <w:pPr>
        <w:pStyle w:val="Compact"/>
        <w:numPr>
          <w:ilvl w:val="0"/>
          <w:numId w:val="1001"/>
        </w:numPr>
      </w:pPr>
      <w:r>
        <w:t xml:space="preserve">mokinių, tėvų ar darbuotojų skundų nagrinėjimu.</w:t>
      </w:r>
    </w:p>
    <w:p>
      <w:r>
        <w:pict>
          <v:rect style="width:0;height:1.5pt" o:hralign="center" o:hrstd="t" o:hr="t"/>
        </w:pict>
      </w:r>
    </w:p>
    <w:bookmarkEnd w:id="23"/>
    <w:bookmarkStart w:id="24" w:name="kontroliuojami-reikalavimai"/>
    <w:p>
      <w:pPr>
        <w:pStyle w:val="Heading1"/>
      </w:pPr>
      <w:r>
        <w:t xml:space="preserve">3. Kontroliuojami reikalavimai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546"/>
        <w:gridCol w:w="2600"/>
        <w:gridCol w:w="1773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Kontroliuojamas reikalavimas</w:t>
            </w:r>
          </w:p>
        </w:tc>
        <w:tc>
          <w:tcPr/>
          <w:p>
            <w:pPr>
              <w:pStyle w:val="Compact"/>
            </w:pPr>
            <w:r>
              <w:t xml:space="preserve">Įrodantis dokumentas</w:t>
            </w:r>
          </w:p>
        </w:tc>
        <w:tc>
          <w:tcPr/>
          <w:p>
            <w:pPr>
              <w:pStyle w:val="Compact"/>
            </w:pPr>
            <w:r>
              <w:t xml:space="preserve">Periodiškumas</w:t>
            </w:r>
          </w:p>
        </w:tc>
      </w:tr>
      <w:tr>
        <w:tc>
          <w:tcPr/>
          <w:p>
            <w:pPr>
              <w:pStyle w:val="Compact"/>
            </w:pPr>
            <w:r>
              <w:t xml:space="preserve">Maisto tvarkymo subjekto registracija</w:t>
            </w:r>
          </w:p>
        </w:tc>
        <w:tc>
          <w:tcPr/>
          <w:p>
            <w:pPr>
              <w:pStyle w:val="Compact"/>
            </w:pPr>
            <w:r>
              <w:t xml:space="preserve">Registracijos pažymėjimas</w:t>
            </w:r>
          </w:p>
        </w:tc>
        <w:tc>
          <w:tcPr/>
          <w:p>
            <w:pPr>
              <w:pStyle w:val="Compact"/>
            </w:pPr>
            <w:r>
              <w:t xml:space="preserve">Sutarties pradžioje ir pasikeitus</w:t>
            </w:r>
          </w:p>
        </w:tc>
      </w:tr>
      <w:tr>
        <w:tc>
          <w:tcPr/>
          <w:p>
            <w:pPr>
              <w:pStyle w:val="Compact"/>
            </w:pPr>
            <w:r>
              <w:t xml:space="preserve">Darbuotojų sveikatos tikrinimas</w:t>
            </w:r>
          </w:p>
        </w:tc>
        <w:tc>
          <w:tcPr/>
          <w:p>
            <w:pPr>
              <w:pStyle w:val="Compact"/>
            </w:pPr>
            <w:r>
              <w:t xml:space="preserve">Galiojantys medicininiai dokumentai</w:t>
            </w:r>
          </w:p>
        </w:tc>
        <w:tc>
          <w:tcPr/>
          <w:p>
            <w:pPr>
              <w:pStyle w:val="Compact"/>
            </w:pPr>
            <w:r>
              <w:t xml:space="preserve">Kartą per metus arba pareikalavus</w:t>
            </w:r>
          </w:p>
        </w:tc>
      </w:tr>
      <w:tr>
        <w:tc>
          <w:tcPr/>
          <w:p>
            <w:pPr>
              <w:pStyle w:val="Compact"/>
            </w:pPr>
            <w:r>
              <w:t xml:space="preserve">Valgiaraščiai</w:t>
            </w:r>
          </w:p>
        </w:tc>
        <w:tc>
          <w:tcPr/>
          <w:p>
            <w:pPr>
              <w:pStyle w:val="Compact"/>
            </w:pPr>
            <w:r>
              <w:t xml:space="preserve">Suderinti 15 darbo dienų valgiaraščiai</w:t>
            </w:r>
          </w:p>
        </w:tc>
        <w:tc>
          <w:tcPr/>
          <w:p>
            <w:pPr>
              <w:pStyle w:val="Compact"/>
            </w:pPr>
            <w:r>
              <w:t xml:space="preserve">Prieš kiekvieną naują ciklą</w:t>
            </w:r>
          </w:p>
        </w:tc>
      </w:tr>
      <w:tr>
        <w:tc>
          <w:tcPr/>
          <w:p>
            <w:pPr>
              <w:pStyle w:val="Compact"/>
            </w:pPr>
            <w:r>
              <w:t xml:space="preserve">Technologinės kortelės</w:t>
            </w:r>
          </w:p>
        </w:tc>
        <w:tc>
          <w:tcPr/>
          <w:p>
            <w:pPr>
              <w:pStyle w:val="Compact"/>
            </w:pPr>
            <w:r>
              <w:t xml:space="preserve">Technologinės kortelės</w:t>
            </w:r>
          </w:p>
        </w:tc>
        <w:tc>
          <w:tcPr/>
          <w:p>
            <w:pPr>
              <w:pStyle w:val="Compact"/>
            </w:pPr>
            <w:r>
              <w:t xml:space="preserve">Pareikalavus</w:t>
            </w:r>
          </w:p>
        </w:tc>
      </w:tr>
      <w:tr>
        <w:tc>
          <w:tcPr/>
          <w:p>
            <w:pPr>
              <w:pStyle w:val="Compact"/>
            </w:pPr>
            <w:r>
              <w:t xml:space="preserve">Pritaikytas maitinimas</w:t>
            </w:r>
          </w:p>
        </w:tc>
        <w:tc>
          <w:tcPr/>
          <w:p>
            <w:pPr>
              <w:pStyle w:val="Compact"/>
            </w:pPr>
            <w:r>
              <w:t xml:space="preserve">Gydytojo rekomendacijos ir valgiaraštis</w:t>
            </w:r>
          </w:p>
        </w:tc>
        <w:tc>
          <w:tcPr/>
          <w:p>
            <w:pPr>
              <w:pStyle w:val="Compact"/>
            </w:pPr>
            <w:r>
              <w:t xml:space="preserve">Esant poreikiui</w:t>
            </w:r>
          </w:p>
        </w:tc>
      </w:tr>
      <w:tr>
        <w:tc>
          <w:tcPr/>
          <w:p>
            <w:pPr>
              <w:pStyle w:val="Compact"/>
            </w:pPr>
            <w:r>
              <w:t xml:space="preserve">Ekologinių / NKP produktų naudojimas</w:t>
            </w:r>
          </w:p>
        </w:tc>
        <w:tc>
          <w:tcPr/>
          <w:p>
            <w:pPr>
              <w:pStyle w:val="Compact"/>
            </w:pPr>
            <w:r>
              <w:t xml:space="preserve">Ketvirtinė suvestinė ir sertifikatai</w:t>
            </w:r>
          </w:p>
        </w:tc>
        <w:tc>
          <w:tcPr/>
          <w:p>
            <w:pPr>
              <w:pStyle w:val="Compact"/>
            </w:pPr>
            <w:r>
              <w:t xml:space="preserve">Kartą per ketvirtį</w:t>
            </w:r>
          </w:p>
        </w:tc>
      </w:tr>
      <w:tr>
        <w:tc>
          <w:tcPr/>
          <w:p>
            <w:pPr>
              <w:pStyle w:val="Compact"/>
            </w:pPr>
            <w:r>
              <w:t xml:space="preserve">Maisto produktų įsigijimas</w:t>
            </w:r>
          </w:p>
        </w:tc>
        <w:tc>
          <w:tcPr/>
          <w:p>
            <w:pPr>
              <w:pStyle w:val="Compact"/>
            </w:pPr>
            <w:r>
              <w:t xml:space="preserve">Sąskaitos faktūros, tiekimo dokumentai</w:t>
            </w:r>
          </w:p>
        </w:tc>
        <w:tc>
          <w:tcPr/>
          <w:p>
            <w:pPr>
              <w:pStyle w:val="Compact"/>
            </w:pPr>
            <w:r>
              <w:t xml:space="preserve">Atrankos būdu</w:t>
            </w:r>
          </w:p>
        </w:tc>
      </w:tr>
      <w:tr>
        <w:tc>
          <w:tcPr/>
          <w:p>
            <w:pPr>
              <w:pStyle w:val="Compact"/>
            </w:pPr>
            <w:r>
              <w:t xml:space="preserve">Atliekų tvarkymas</w:t>
            </w:r>
          </w:p>
        </w:tc>
        <w:tc>
          <w:tcPr/>
          <w:p>
            <w:pPr>
              <w:pStyle w:val="Compact"/>
            </w:pPr>
            <w:r>
              <w:t xml:space="preserve">Sutartys arba atliekų perdavimo dokumentai</w:t>
            </w:r>
          </w:p>
        </w:tc>
        <w:tc>
          <w:tcPr/>
          <w:p>
            <w:pPr>
              <w:pStyle w:val="Compact"/>
            </w:pPr>
            <w:r>
              <w:t xml:space="preserve">Kartą per metus</w:t>
            </w:r>
          </w:p>
        </w:tc>
      </w:tr>
      <w:tr>
        <w:tc>
          <w:tcPr/>
          <w:p>
            <w:pPr>
              <w:pStyle w:val="Compact"/>
            </w:pPr>
            <w:r>
              <w:t xml:space="preserve">Patalpų švara</w:t>
            </w:r>
          </w:p>
        </w:tc>
        <w:tc>
          <w:tcPr/>
          <w:p>
            <w:pPr>
              <w:pStyle w:val="Compact"/>
            </w:pPr>
            <w:r>
              <w:t xml:space="preserve">Vizualinė apžiūra</w:t>
            </w:r>
          </w:p>
        </w:tc>
        <w:tc>
          <w:tcPr/>
          <w:p>
            <w:pPr>
              <w:pStyle w:val="Compact"/>
            </w:pPr>
            <w:r>
              <w:t xml:space="preserve">Pagal poreikį</w:t>
            </w:r>
          </w:p>
        </w:tc>
      </w:tr>
      <w:tr>
        <w:tc>
          <w:tcPr/>
          <w:p>
            <w:pPr>
              <w:pStyle w:val="Compact"/>
            </w:pPr>
            <w:r>
              <w:t xml:space="preserve">Maitinimo grafiko laikymasis</w:t>
            </w:r>
          </w:p>
        </w:tc>
        <w:tc>
          <w:tcPr/>
          <w:p>
            <w:pPr>
              <w:pStyle w:val="Compact"/>
            </w:pPr>
            <w:r>
              <w:t xml:space="preserve">Vizualinė kontrolė</w:t>
            </w:r>
          </w:p>
        </w:tc>
        <w:tc>
          <w:tcPr/>
          <w:p>
            <w:pPr>
              <w:pStyle w:val="Compact"/>
            </w:pPr>
            <w:r>
              <w:t xml:space="preserve">Nuolat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4"/>
    <w:bookmarkStart w:id="25" w:name="ekologinių-produktų-kontrolė"/>
    <w:p>
      <w:pPr>
        <w:pStyle w:val="Heading1"/>
      </w:pPr>
      <w:r>
        <w:t xml:space="preserve">4. Ekologinių produktų kontrolė</w:t>
      </w:r>
    </w:p>
    <w:p>
      <w:pPr>
        <w:pStyle w:val="FirstParagraph"/>
      </w:pPr>
      <w:r>
        <w:t xml:space="preserve">Paslaugų teikėjas iki kito ketvirčio pirmojo mėnesio 10 dienos pateikia:</w:t>
      </w:r>
    </w:p>
    <w:p>
      <w:pPr>
        <w:pStyle w:val="Compact"/>
        <w:numPr>
          <w:ilvl w:val="0"/>
          <w:numId w:val="1002"/>
        </w:numPr>
      </w:pPr>
      <w:r>
        <w:t xml:space="preserve">ekologinių, NKP arba kitų lygiaverčių produktų suvestinę;</w:t>
      </w:r>
    </w:p>
    <w:p>
      <w:pPr>
        <w:pStyle w:val="Compact"/>
        <w:numPr>
          <w:ilvl w:val="0"/>
          <w:numId w:val="1002"/>
        </w:numPr>
      </w:pPr>
      <w:r>
        <w:t xml:space="preserve">įsigytų produktų kiekius (kg, l arba vnt.);</w:t>
      </w:r>
    </w:p>
    <w:p>
      <w:pPr>
        <w:pStyle w:val="Compact"/>
        <w:numPr>
          <w:ilvl w:val="0"/>
          <w:numId w:val="1002"/>
        </w:numPr>
      </w:pPr>
      <w:r>
        <w:t xml:space="preserve">procentinę tokių produktų dalį;</w:t>
      </w:r>
    </w:p>
    <w:p>
      <w:pPr>
        <w:pStyle w:val="Compact"/>
        <w:numPr>
          <w:ilvl w:val="0"/>
          <w:numId w:val="1002"/>
        </w:numPr>
      </w:pPr>
      <w:r>
        <w:t xml:space="preserve">sertifikatų kopijas arba nuorodas į viešus registrus;</w:t>
      </w:r>
    </w:p>
    <w:p>
      <w:pPr>
        <w:pStyle w:val="Compact"/>
        <w:numPr>
          <w:ilvl w:val="0"/>
          <w:numId w:val="1002"/>
        </w:numPr>
      </w:pPr>
      <w:r>
        <w:t xml:space="preserve">pagrindinių tiekimo dokumentų kopijas.</w:t>
      </w:r>
    </w:p>
    <w:p>
      <w:pPr>
        <w:pStyle w:val="FirstParagraph"/>
      </w:pPr>
      <w:r>
        <w:t xml:space="preserve">Perkančioji organizacija tikrina pateiktų dokumentų pakankamumą. Esant poreikiui gali būti atliekama atsitiktinė produktų kilmės patikra.</w:t>
      </w:r>
    </w:p>
    <w:p>
      <w:r>
        <w:pict>
          <v:rect style="width:0;height:1.5pt" o:hralign="center" o:hrstd="t" o:hr="t"/>
        </w:pict>
      </w:r>
    </w:p>
    <w:bookmarkEnd w:id="25"/>
    <w:bookmarkStart w:id="26" w:name="patikrinimų-organizavimas"/>
    <w:p>
      <w:pPr>
        <w:pStyle w:val="Heading1"/>
      </w:pPr>
      <w:r>
        <w:t xml:space="preserve">5. Patikrinimų organizavimas</w:t>
      </w:r>
    </w:p>
    <w:p>
      <w:pPr>
        <w:pStyle w:val="FirstParagraph"/>
      </w:pPr>
      <w:r>
        <w:t xml:space="preserve">Planinis patikrinimas atliekamas ne rečiau kaip kartą per ketvirtį.</w:t>
      </w:r>
    </w:p>
    <w:p>
      <w:pPr>
        <w:pStyle w:val="BodyText"/>
      </w:pPr>
      <w:r>
        <w:t xml:space="preserve">Neplaninis patikrinimas gali būti atliekamas:</w:t>
      </w:r>
    </w:p>
    <w:p>
      <w:pPr>
        <w:pStyle w:val="Compact"/>
        <w:numPr>
          <w:ilvl w:val="0"/>
          <w:numId w:val="1003"/>
        </w:numPr>
      </w:pPr>
      <w:r>
        <w:t xml:space="preserve">gavus mokinių ar tėvų skundą;</w:t>
      </w:r>
    </w:p>
    <w:p>
      <w:pPr>
        <w:pStyle w:val="Compact"/>
        <w:numPr>
          <w:ilvl w:val="0"/>
          <w:numId w:val="1003"/>
        </w:numPr>
      </w:pPr>
      <w:r>
        <w:t xml:space="preserve">gavus informaciją apie galimus pažeidimus;</w:t>
      </w:r>
    </w:p>
    <w:p>
      <w:pPr>
        <w:pStyle w:val="Compact"/>
        <w:numPr>
          <w:ilvl w:val="0"/>
          <w:numId w:val="1003"/>
        </w:numPr>
      </w:pPr>
      <w:r>
        <w:t xml:space="preserve">nustačius neatitikimus dokumentuose;</w:t>
      </w:r>
    </w:p>
    <w:p>
      <w:pPr>
        <w:pStyle w:val="Compact"/>
        <w:numPr>
          <w:ilvl w:val="0"/>
          <w:numId w:val="1003"/>
        </w:numPr>
      </w:pPr>
      <w:r>
        <w:t xml:space="preserve">gavus kontroliuojančių institucijų informaciją.</w:t>
      </w:r>
    </w:p>
    <w:p>
      <w:r>
        <w:pict>
          <v:rect style="width:0;height:1.5pt" o:hralign="center" o:hrstd="t" o:hr="t"/>
        </w:pict>
      </w:r>
    </w:p>
    <w:bookmarkEnd w:id="26"/>
    <w:bookmarkStart w:id="27" w:name="patikrinimo-rezultatai"/>
    <w:p>
      <w:pPr>
        <w:pStyle w:val="Heading1"/>
      </w:pPr>
      <w:r>
        <w:t xml:space="preserve">6. Patikrinimo rezultatai</w:t>
      </w:r>
    </w:p>
    <w:p>
      <w:pPr>
        <w:pStyle w:val="FirstParagraph"/>
      </w:pPr>
      <w:r>
        <w:t xml:space="preserve">Patikrinimo metu surašomas trumpas patikrinimo aktas.</w:t>
      </w:r>
    </w:p>
    <w:p>
      <w:pPr>
        <w:pStyle w:val="BodyText"/>
      </w:pPr>
      <w:r>
        <w:t xml:space="preserve">Jame nurodoma:</w:t>
      </w:r>
    </w:p>
    <w:p>
      <w:pPr>
        <w:pStyle w:val="Compact"/>
        <w:numPr>
          <w:ilvl w:val="0"/>
          <w:numId w:val="1004"/>
        </w:numPr>
      </w:pPr>
      <w:r>
        <w:t xml:space="preserve">patikrinimo data;</w:t>
      </w:r>
    </w:p>
    <w:p>
      <w:pPr>
        <w:pStyle w:val="Compact"/>
        <w:numPr>
          <w:ilvl w:val="0"/>
          <w:numId w:val="1004"/>
        </w:numPr>
      </w:pPr>
      <w:r>
        <w:t xml:space="preserve">tikrinti klausimai;</w:t>
      </w:r>
    </w:p>
    <w:p>
      <w:pPr>
        <w:pStyle w:val="Compact"/>
        <w:numPr>
          <w:ilvl w:val="0"/>
          <w:numId w:val="1004"/>
        </w:numPr>
      </w:pPr>
      <w:r>
        <w:t xml:space="preserve">nustatyti neatitikimai;</w:t>
      </w:r>
    </w:p>
    <w:p>
      <w:pPr>
        <w:pStyle w:val="Compact"/>
        <w:numPr>
          <w:ilvl w:val="0"/>
          <w:numId w:val="1004"/>
        </w:numPr>
      </w:pPr>
      <w:r>
        <w:t xml:space="preserve">terminas trūkumams pašalinti;</w:t>
      </w:r>
    </w:p>
    <w:p>
      <w:pPr>
        <w:pStyle w:val="Compact"/>
        <w:numPr>
          <w:ilvl w:val="0"/>
          <w:numId w:val="1004"/>
        </w:numPr>
      </w:pPr>
      <w:r>
        <w:t xml:space="preserve">atsakingi asmenys.</w:t>
      </w:r>
    </w:p>
    <w:p>
      <w:r>
        <w:pict>
          <v:rect style="width:0;height:1.5pt" o:hralign="center" o:hrstd="t" o:hr="t"/>
        </w:pict>
      </w:r>
    </w:p>
    <w:bookmarkEnd w:id="27"/>
    <w:bookmarkStart w:id="28" w:name="neatitikimų-šalinimas"/>
    <w:p>
      <w:pPr>
        <w:pStyle w:val="Heading1"/>
      </w:pPr>
      <w:r>
        <w:t xml:space="preserve">7. Neatitikimų šalinimas</w:t>
      </w:r>
    </w:p>
    <w:p>
      <w:pPr>
        <w:pStyle w:val="FirstParagraph"/>
      </w:pPr>
      <w:r>
        <w:t xml:space="preserve">Nustačius pažeidimus, Paslaugų teikėjui raštu nustatomas terminas juos pašalinti.</w:t>
      </w:r>
    </w:p>
    <w:p>
      <w:pPr>
        <w:pStyle w:val="BodyText"/>
      </w:pPr>
      <w:r>
        <w:t xml:space="preserve">Jeigu pažeidimai per nustatytą terminą nepašalinami arba kartojasi, Perkančioji organizacija turi teisę taikyti sutartyje numatytas sankcijas.</w:t>
      </w:r>
    </w:p>
    <w:p>
      <w:r>
        <w:pict>
          <v:rect style="width:0;height:1.5pt" o:hralign="center" o:hrstd="t" o:hr="t"/>
        </w:pict>
      </w:r>
    </w:p>
    <w:bookmarkEnd w:id="28"/>
    <w:bookmarkStart w:id="29" w:name="Xe67425dd7914358e02bded2c910cce0e604f47c"/>
    <w:p>
      <w:pPr>
        <w:pStyle w:val="Heading1"/>
      </w:pPr>
      <w:r>
        <w:t xml:space="preserve">8. Rekomenduojamas metinis kontrolės grafikas</w:t>
      </w:r>
    </w:p>
    <w:p>
      <w:pPr>
        <w:pStyle w:val="FirstParagraph"/>
      </w:pPr>
      <w:r>
        <w:rPr>
          <w:b/>
          <w:bCs/>
        </w:rPr>
        <w:t xml:space="preserve">Rugsėjis</w:t>
      </w:r>
    </w:p>
    <w:p>
      <w:pPr>
        <w:pStyle w:val="Compact"/>
        <w:numPr>
          <w:ilvl w:val="0"/>
          <w:numId w:val="1005"/>
        </w:numPr>
      </w:pPr>
      <w:r>
        <w:t xml:space="preserve">patikrinami darbuotojų dokumentai;</w:t>
      </w:r>
    </w:p>
    <w:p>
      <w:pPr>
        <w:pStyle w:val="Compact"/>
        <w:numPr>
          <w:ilvl w:val="0"/>
          <w:numId w:val="1005"/>
        </w:numPr>
      </w:pPr>
      <w:r>
        <w:t xml:space="preserve">VMVT registracija;</w:t>
      </w:r>
    </w:p>
    <w:p>
      <w:pPr>
        <w:pStyle w:val="Compact"/>
        <w:numPr>
          <w:ilvl w:val="0"/>
          <w:numId w:val="1005"/>
        </w:numPr>
      </w:pPr>
      <w:r>
        <w:t xml:space="preserve">pirmieji valgiaraščiai.</w:t>
      </w:r>
    </w:p>
    <w:p>
      <w:pPr>
        <w:pStyle w:val="FirstParagraph"/>
      </w:pPr>
      <w:r>
        <w:rPr>
          <w:b/>
          <w:bCs/>
        </w:rPr>
        <w:t xml:space="preserve">Gruodis</w:t>
      </w:r>
    </w:p>
    <w:p>
      <w:pPr>
        <w:pStyle w:val="Compact"/>
        <w:numPr>
          <w:ilvl w:val="0"/>
          <w:numId w:val="1006"/>
        </w:numPr>
      </w:pPr>
      <w:r>
        <w:t xml:space="preserve">ekologinių produktų ataskaita;</w:t>
      </w:r>
    </w:p>
    <w:p>
      <w:pPr>
        <w:pStyle w:val="Compact"/>
        <w:numPr>
          <w:ilvl w:val="0"/>
          <w:numId w:val="1006"/>
        </w:numPr>
      </w:pPr>
      <w:r>
        <w:t xml:space="preserve">dokumentų atrankinė patikra.</w:t>
      </w:r>
    </w:p>
    <w:p>
      <w:pPr>
        <w:pStyle w:val="FirstParagraph"/>
      </w:pPr>
      <w:r>
        <w:rPr>
          <w:b/>
          <w:bCs/>
        </w:rPr>
        <w:t xml:space="preserve">Kovas</w:t>
      </w:r>
    </w:p>
    <w:p>
      <w:pPr>
        <w:pStyle w:val="Compact"/>
        <w:numPr>
          <w:ilvl w:val="0"/>
          <w:numId w:val="1007"/>
        </w:numPr>
      </w:pPr>
      <w:r>
        <w:t xml:space="preserve">ekologinių produktų ataskaita;</w:t>
      </w:r>
    </w:p>
    <w:p>
      <w:pPr>
        <w:pStyle w:val="Compact"/>
        <w:numPr>
          <w:ilvl w:val="0"/>
          <w:numId w:val="1007"/>
        </w:numPr>
      </w:pPr>
      <w:r>
        <w:t xml:space="preserve">valgiaraščių ir technologinių kortelių peržiūra.</w:t>
      </w:r>
    </w:p>
    <w:p>
      <w:pPr>
        <w:pStyle w:val="FirstParagraph"/>
      </w:pPr>
      <w:r>
        <w:rPr>
          <w:b/>
          <w:bCs/>
        </w:rPr>
        <w:t xml:space="preserve">Birželis</w:t>
      </w:r>
    </w:p>
    <w:p>
      <w:pPr>
        <w:pStyle w:val="Compact"/>
        <w:numPr>
          <w:ilvl w:val="0"/>
          <w:numId w:val="1008"/>
        </w:numPr>
      </w:pPr>
      <w:r>
        <w:t xml:space="preserve">metinis sutarties vykdymo įvertinimas;</w:t>
      </w:r>
    </w:p>
    <w:p>
      <w:pPr>
        <w:pStyle w:val="Compact"/>
        <w:numPr>
          <w:ilvl w:val="0"/>
          <w:numId w:val="1008"/>
        </w:numPr>
      </w:pPr>
      <w:r>
        <w:t xml:space="preserve">atliekų tvarkymo dokumentų patikra;</w:t>
      </w:r>
    </w:p>
    <w:p>
      <w:pPr>
        <w:pStyle w:val="Compact"/>
        <w:numPr>
          <w:ilvl w:val="0"/>
          <w:numId w:val="1008"/>
        </w:numPr>
      </w:pPr>
      <w:r>
        <w:t xml:space="preserve">pasirengimas kitų mokslo metų maitinimo organizavimui.</w:t>
      </w:r>
    </w:p>
    <w:p>
      <w:r>
        <w:pict>
          <v:rect style="width:0;height:1.5pt" o:hralign="center" o:hrstd="t" o:hr="t"/>
        </w:pict>
      </w:r>
    </w:p>
    <w:bookmarkEnd w:id="29"/>
    <w:bookmarkStart w:id="30" w:name="X6a2061a17ee5994856e862a74a92eb85caad95b"/>
    <w:p>
      <w:pPr>
        <w:pStyle w:val="Heading1"/>
      </w:pPr>
      <w:r>
        <w:t xml:space="preserve">9. Rekomenduojami dokumentai, kurių pakanka kontrolei</w:t>
      </w:r>
    </w:p>
    <w:p>
      <w:pPr>
        <w:pStyle w:val="Compact"/>
        <w:numPr>
          <w:ilvl w:val="0"/>
          <w:numId w:val="1009"/>
        </w:numPr>
      </w:pPr>
      <w:r>
        <w:t xml:space="preserve">Maisto tvarkymo subjekto registracijos pažymėjimas.</w:t>
      </w:r>
    </w:p>
    <w:p>
      <w:pPr>
        <w:pStyle w:val="Compact"/>
        <w:numPr>
          <w:ilvl w:val="0"/>
          <w:numId w:val="1009"/>
        </w:numPr>
      </w:pPr>
      <w:r>
        <w:t xml:space="preserve">Darbuotojų sveikatos patikrinimo dokumentai.</w:t>
      </w:r>
    </w:p>
    <w:p>
      <w:pPr>
        <w:pStyle w:val="Compact"/>
        <w:numPr>
          <w:ilvl w:val="0"/>
          <w:numId w:val="1009"/>
        </w:numPr>
      </w:pPr>
      <w:r>
        <w:t xml:space="preserve">Valgiaraščiai.</w:t>
      </w:r>
    </w:p>
    <w:p>
      <w:pPr>
        <w:pStyle w:val="Compact"/>
        <w:numPr>
          <w:ilvl w:val="0"/>
          <w:numId w:val="1009"/>
        </w:numPr>
      </w:pPr>
      <w:r>
        <w:t xml:space="preserve">Technologinės kortelės.</w:t>
      </w:r>
    </w:p>
    <w:p>
      <w:pPr>
        <w:pStyle w:val="Compact"/>
        <w:numPr>
          <w:ilvl w:val="0"/>
          <w:numId w:val="1009"/>
        </w:numPr>
      </w:pPr>
      <w:r>
        <w:t xml:space="preserve">Ekologinių produktų ketvirtinė suvestinė.</w:t>
      </w:r>
    </w:p>
    <w:p>
      <w:pPr>
        <w:pStyle w:val="Compact"/>
        <w:numPr>
          <w:ilvl w:val="0"/>
          <w:numId w:val="1009"/>
        </w:numPr>
      </w:pPr>
      <w:r>
        <w:t xml:space="preserve">Produktų pirkimo dokumentų atrankinė imtis.</w:t>
      </w:r>
    </w:p>
    <w:p>
      <w:pPr>
        <w:pStyle w:val="Compact"/>
        <w:numPr>
          <w:ilvl w:val="0"/>
          <w:numId w:val="1009"/>
        </w:numPr>
      </w:pPr>
      <w:r>
        <w:t xml:space="preserve">Atliekų tvarkymo dokumentai.</w:t>
      </w:r>
    </w:p>
    <w:p>
      <w:pPr>
        <w:pStyle w:val="FirstParagraph"/>
      </w:pPr>
      <w:r>
        <w:t xml:space="preserve">Kitų dokumentų reikalaujama tik esant pagrįstam poreikiui.</w:t>
      </w:r>
    </w:p>
    <w:bookmarkEnd w:id="3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2026-07-10T10:23:24Z</dcterms:created>
  <dcterms:modified xsi:type="dcterms:W3CDTF">2026-07-10T10:23:24Z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